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A180" w14:textId="77777777" w:rsidR="00136494" w:rsidRDefault="00000000">
      <w:pPr>
        <w:pStyle w:val="FirstParagraph"/>
      </w:pPr>
      <w:r>
        <w:rPr>
          <w:b/>
          <w:bCs/>
        </w:rPr>
        <w:t>Role: Events Manager</w:t>
      </w:r>
    </w:p>
    <w:p w14:paraId="2E217E26" w14:textId="77777777" w:rsidR="00136494" w:rsidRDefault="00000000">
      <w:r>
        <w:pict w14:anchorId="1C85288A">
          <v:rect id="_x0000_i1025" style="width:0;height:1.5pt" o:hralign="center" o:hrstd="t" o:hr="t"/>
        </w:pict>
      </w:r>
    </w:p>
    <w:p w14:paraId="55F138B1" w14:textId="77777777" w:rsidR="00136494" w:rsidRDefault="00000000">
      <w:pPr>
        <w:pStyle w:val="Heading3"/>
      </w:pPr>
      <w:bookmarkStart w:id="0" w:name="ai-exposure-task-efficiency-analysis"/>
      <w:r>
        <w:rPr>
          <w:b/>
          <w:bCs/>
        </w:rPr>
        <w:t>AI Exposure &amp; Task Efficiency Analysis</w:t>
      </w:r>
    </w:p>
    <w:tbl>
      <w:tblPr>
        <w:tblStyle w:val="Table"/>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7"/>
        <w:gridCol w:w="1260"/>
        <w:gridCol w:w="1889"/>
        <w:gridCol w:w="3482"/>
      </w:tblGrid>
      <w:tr w:rsidR="00136494" w14:paraId="5BDAAEEA" w14:textId="77777777" w:rsidTr="00A1747F">
        <w:trPr>
          <w:cnfStyle w:val="100000000000" w:firstRow="1" w:lastRow="0" w:firstColumn="0" w:lastColumn="0" w:oddVBand="0" w:evenVBand="0" w:oddHBand="0" w:evenHBand="0" w:firstRowFirstColumn="0" w:firstRowLastColumn="0" w:lastRowFirstColumn="0" w:lastRowLastColumn="0"/>
          <w:tblHeader/>
        </w:trPr>
        <w:tc>
          <w:tcPr>
            <w:tcW w:w="2808" w:type="dxa"/>
            <w:tcBorders>
              <w:bottom w:val="none" w:sz="0" w:space="0" w:color="auto"/>
            </w:tcBorders>
          </w:tcPr>
          <w:p w14:paraId="2218C3AE" w14:textId="77777777" w:rsidR="00136494" w:rsidRDefault="00000000">
            <w:pPr>
              <w:pStyle w:val="Compact"/>
            </w:pPr>
            <w:r>
              <w:rPr>
                <w:b/>
                <w:bCs/>
              </w:rPr>
              <w:t>Task</w:t>
            </w:r>
          </w:p>
        </w:tc>
        <w:tc>
          <w:tcPr>
            <w:tcW w:w="1260" w:type="dxa"/>
            <w:tcBorders>
              <w:bottom w:val="none" w:sz="0" w:space="0" w:color="auto"/>
            </w:tcBorders>
          </w:tcPr>
          <w:p w14:paraId="2B17BAD6" w14:textId="77777777" w:rsidR="00136494" w:rsidRDefault="00000000">
            <w:pPr>
              <w:pStyle w:val="Compact"/>
            </w:pPr>
            <w:r>
              <w:rPr>
                <w:b/>
                <w:bCs/>
              </w:rPr>
              <w:t>Exposure Level</w:t>
            </w:r>
          </w:p>
        </w:tc>
        <w:tc>
          <w:tcPr>
            <w:tcW w:w="1889" w:type="dxa"/>
            <w:tcBorders>
              <w:bottom w:val="none" w:sz="0" w:space="0" w:color="auto"/>
            </w:tcBorders>
          </w:tcPr>
          <w:p w14:paraId="4867684D" w14:textId="77777777" w:rsidR="00136494" w:rsidRDefault="00000000">
            <w:pPr>
              <w:pStyle w:val="Compact"/>
            </w:pPr>
            <w:r>
              <w:rPr>
                <w:b/>
                <w:bCs/>
              </w:rPr>
              <w:t>Estimated Time Saved (%)</w:t>
            </w:r>
          </w:p>
        </w:tc>
        <w:tc>
          <w:tcPr>
            <w:tcW w:w="3482" w:type="dxa"/>
            <w:tcBorders>
              <w:bottom w:val="none" w:sz="0" w:space="0" w:color="auto"/>
            </w:tcBorders>
          </w:tcPr>
          <w:p w14:paraId="42193388" w14:textId="77777777" w:rsidR="00136494" w:rsidRDefault="00000000">
            <w:pPr>
              <w:pStyle w:val="Compact"/>
            </w:pPr>
            <w:r>
              <w:rPr>
                <w:b/>
                <w:bCs/>
              </w:rPr>
              <w:t>Rationale</w:t>
            </w:r>
          </w:p>
        </w:tc>
      </w:tr>
      <w:tr w:rsidR="00136494" w14:paraId="0A93E93B" w14:textId="77777777" w:rsidTr="00A1747F">
        <w:tc>
          <w:tcPr>
            <w:tcW w:w="2808" w:type="dxa"/>
          </w:tcPr>
          <w:p w14:paraId="6F751DEC" w14:textId="77777777" w:rsidR="00136494" w:rsidRDefault="00000000">
            <w:pPr>
              <w:pStyle w:val="Compact"/>
            </w:pPr>
            <w:r>
              <w:t>Schedule and manage all public affairs programming</w:t>
            </w:r>
          </w:p>
        </w:tc>
        <w:tc>
          <w:tcPr>
            <w:tcW w:w="1260" w:type="dxa"/>
          </w:tcPr>
          <w:p w14:paraId="7B09DB8B" w14:textId="77777777" w:rsidR="00136494" w:rsidRDefault="00000000">
            <w:pPr>
              <w:pStyle w:val="Compact"/>
            </w:pPr>
            <w:r>
              <w:t>E9</w:t>
            </w:r>
          </w:p>
        </w:tc>
        <w:tc>
          <w:tcPr>
            <w:tcW w:w="1889" w:type="dxa"/>
          </w:tcPr>
          <w:p w14:paraId="44386A98" w14:textId="77777777" w:rsidR="00136494" w:rsidRDefault="00000000">
            <w:pPr>
              <w:pStyle w:val="Compact"/>
            </w:pPr>
            <w:r>
              <w:t>45–55%</w:t>
            </w:r>
          </w:p>
        </w:tc>
        <w:tc>
          <w:tcPr>
            <w:tcW w:w="3482" w:type="dxa"/>
          </w:tcPr>
          <w:p w14:paraId="435E0FE0" w14:textId="77777777" w:rsidR="00136494" w:rsidRDefault="00000000">
            <w:pPr>
              <w:pStyle w:val="Compact"/>
            </w:pPr>
            <w:r>
              <w:t>AI scheduling and logistics agents can autonomously coordinate venues, dates, and participant availability, optimizing complex calendars.</w:t>
            </w:r>
          </w:p>
        </w:tc>
      </w:tr>
      <w:tr w:rsidR="00136494" w14:paraId="528E5D0A" w14:textId="77777777" w:rsidTr="00A1747F">
        <w:tc>
          <w:tcPr>
            <w:tcW w:w="2808" w:type="dxa"/>
          </w:tcPr>
          <w:p w14:paraId="676742A4" w14:textId="77777777" w:rsidR="00136494" w:rsidRDefault="00000000">
            <w:pPr>
              <w:pStyle w:val="Compact"/>
            </w:pPr>
            <w:r>
              <w:t>Coordinate speaker invitations and leadership guest logistics</w:t>
            </w:r>
          </w:p>
        </w:tc>
        <w:tc>
          <w:tcPr>
            <w:tcW w:w="1260" w:type="dxa"/>
          </w:tcPr>
          <w:p w14:paraId="7F746EFB" w14:textId="77777777" w:rsidR="00136494" w:rsidRDefault="00000000">
            <w:pPr>
              <w:pStyle w:val="Compact"/>
            </w:pPr>
            <w:r>
              <w:t>E9</w:t>
            </w:r>
          </w:p>
        </w:tc>
        <w:tc>
          <w:tcPr>
            <w:tcW w:w="1889" w:type="dxa"/>
          </w:tcPr>
          <w:p w14:paraId="30D2987B" w14:textId="77777777" w:rsidR="00136494" w:rsidRDefault="00000000">
            <w:pPr>
              <w:pStyle w:val="Compact"/>
            </w:pPr>
            <w:r>
              <w:t>40–50%</w:t>
            </w:r>
          </w:p>
        </w:tc>
        <w:tc>
          <w:tcPr>
            <w:tcW w:w="3482" w:type="dxa"/>
          </w:tcPr>
          <w:p w14:paraId="1A3085EC" w14:textId="77777777" w:rsidR="00136494" w:rsidRDefault="00000000">
            <w:pPr>
              <w:pStyle w:val="Compact"/>
            </w:pPr>
            <w:r>
              <w:t>AI can automate outreach, travel planning, and accommodation booking through integrated enterprise systems.</w:t>
            </w:r>
          </w:p>
        </w:tc>
      </w:tr>
      <w:tr w:rsidR="00136494" w14:paraId="4E708074" w14:textId="77777777" w:rsidTr="00A1747F">
        <w:tc>
          <w:tcPr>
            <w:tcW w:w="2808" w:type="dxa"/>
          </w:tcPr>
          <w:p w14:paraId="3A942C37" w14:textId="77777777" w:rsidR="00136494" w:rsidRDefault="00000000">
            <w:pPr>
              <w:pStyle w:val="Compact"/>
            </w:pPr>
            <w:r>
              <w:t>Convene and manage the speakers committee</w:t>
            </w:r>
          </w:p>
        </w:tc>
        <w:tc>
          <w:tcPr>
            <w:tcW w:w="1260" w:type="dxa"/>
          </w:tcPr>
          <w:p w14:paraId="6170FCD1" w14:textId="77777777" w:rsidR="00136494" w:rsidRDefault="00000000">
            <w:pPr>
              <w:pStyle w:val="Compact"/>
            </w:pPr>
            <w:r>
              <w:t>E7</w:t>
            </w:r>
          </w:p>
        </w:tc>
        <w:tc>
          <w:tcPr>
            <w:tcW w:w="1889" w:type="dxa"/>
          </w:tcPr>
          <w:p w14:paraId="469FB8AA" w14:textId="77777777" w:rsidR="00136494" w:rsidRDefault="00000000">
            <w:pPr>
              <w:pStyle w:val="Compact"/>
            </w:pPr>
            <w:r>
              <w:t>25–35%</w:t>
            </w:r>
          </w:p>
        </w:tc>
        <w:tc>
          <w:tcPr>
            <w:tcW w:w="3482" w:type="dxa"/>
          </w:tcPr>
          <w:p w14:paraId="787C2A52" w14:textId="77777777" w:rsidR="00136494" w:rsidRDefault="00000000">
            <w:pPr>
              <w:pStyle w:val="Compact"/>
            </w:pPr>
            <w:r>
              <w:t>AI assistants can summarize committee discussions, analyze speaker proposals, and predict audience engagement levels.</w:t>
            </w:r>
          </w:p>
        </w:tc>
      </w:tr>
      <w:tr w:rsidR="00136494" w14:paraId="401CAEEE" w14:textId="77777777" w:rsidTr="00A1747F">
        <w:tc>
          <w:tcPr>
            <w:tcW w:w="2808" w:type="dxa"/>
          </w:tcPr>
          <w:p w14:paraId="4CFCB4F0" w14:textId="77777777" w:rsidR="00136494" w:rsidRDefault="00000000">
            <w:pPr>
              <w:pStyle w:val="Compact"/>
            </w:pPr>
            <w:r>
              <w:t>Gather and process community feedback on potential speakers</w:t>
            </w:r>
          </w:p>
        </w:tc>
        <w:tc>
          <w:tcPr>
            <w:tcW w:w="1260" w:type="dxa"/>
          </w:tcPr>
          <w:p w14:paraId="15B62A04" w14:textId="77777777" w:rsidR="00136494" w:rsidRDefault="00000000">
            <w:pPr>
              <w:pStyle w:val="Compact"/>
            </w:pPr>
            <w:r>
              <w:t>E7</w:t>
            </w:r>
          </w:p>
        </w:tc>
        <w:tc>
          <w:tcPr>
            <w:tcW w:w="1889" w:type="dxa"/>
          </w:tcPr>
          <w:p w14:paraId="0876923B" w14:textId="77777777" w:rsidR="00136494" w:rsidRDefault="00000000">
            <w:pPr>
              <w:pStyle w:val="Compact"/>
            </w:pPr>
            <w:r>
              <w:t>35–45%</w:t>
            </w:r>
          </w:p>
        </w:tc>
        <w:tc>
          <w:tcPr>
            <w:tcW w:w="3482" w:type="dxa"/>
          </w:tcPr>
          <w:p w14:paraId="47D48C71" w14:textId="77777777" w:rsidR="00136494" w:rsidRDefault="00000000">
            <w:pPr>
              <w:pStyle w:val="Compact"/>
            </w:pPr>
            <w:r>
              <w:t>Sentiment analysis tools can summarize community suggestions, highlight trends, and propose new topics aligned with institutional goals.</w:t>
            </w:r>
          </w:p>
        </w:tc>
      </w:tr>
      <w:tr w:rsidR="00136494" w14:paraId="1D77118C" w14:textId="77777777" w:rsidTr="00A1747F">
        <w:tc>
          <w:tcPr>
            <w:tcW w:w="2808" w:type="dxa"/>
          </w:tcPr>
          <w:p w14:paraId="276FBF2C" w14:textId="77777777" w:rsidR="00136494" w:rsidRDefault="00000000">
            <w:pPr>
              <w:pStyle w:val="Compact"/>
            </w:pPr>
            <w:r>
              <w:t>Manage on-site logistics and event flow</w:t>
            </w:r>
          </w:p>
        </w:tc>
        <w:tc>
          <w:tcPr>
            <w:tcW w:w="1260" w:type="dxa"/>
          </w:tcPr>
          <w:p w14:paraId="0505C53E" w14:textId="77777777" w:rsidR="00136494" w:rsidRDefault="00000000">
            <w:pPr>
              <w:pStyle w:val="Compact"/>
            </w:pPr>
            <w:r>
              <w:t>E9</w:t>
            </w:r>
          </w:p>
        </w:tc>
        <w:tc>
          <w:tcPr>
            <w:tcW w:w="1889" w:type="dxa"/>
          </w:tcPr>
          <w:p w14:paraId="496C8F39" w14:textId="77777777" w:rsidR="00136494" w:rsidRDefault="00000000">
            <w:pPr>
              <w:pStyle w:val="Compact"/>
            </w:pPr>
            <w:r>
              <w:t>25–35%</w:t>
            </w:r>
          </w:p>
        </w:tc>
        <w:tc>
          <w:tcPr>
            <w:tcW w:w="3482" w:type="dxa"/>
          </w:tcPr>
          <w:p w14:paraId="64BF6448" w14:textId="77777777" w:rsidR="00136494" w:rsidRDefault="00000000">
            <w:pPr>
              <w:pStyle w:val="Compact"/>
            </w:pPr>
            <w:r>
              <w:t>AI-enabled event management systems can track registration, automate check-in, and monitor engagement in real-time.</w:t>
            </w:r>
          </w:p>
        </w:tc>
      </w:tr>
      <w:tr w:rsidR="00136494" w14:paraId="1DB4C2F5" w14:textId="77777777" w:rsidTr="00A1747F">
        <w:tc>
          <w:tcPr>
            <w:tcW w:w="2808" w:type="dxa"/>
          </w:tcPr>
          <w:p w14:paraId="7BE8F735" w14:textId="77777777" w:rsidR="00136494" w:rsidRDefault="00000000">
            <w:pPr>
              <w:pStyle w:val="Compact"/>
            </w:pPr>
            <w:r>
              <w:t>Coordinate student engagement with speakers and guests</w:t>
            </w:r>
          </w:p>
        </w:tc>
        <w:tc>
          <w:tcPr>
            <w:tcW w:w="1260" w:type="dxa"/>
          </w:tcPr>
          <w:p w14:paraId="336093CE" w14:textId="77777777" w:rsidR="00136494" w:rsidRDefault="00000000">
            <w:pPr>
              <w:pStyle w:val="Compact"/>
            </w:pPr>
            <w:r>
              <w:t>E8</w:t>
            </w:r>
          </w:p>
        </w:tc>
        <w:tc>
          <w:tcPr>
            <w:tcW w:w="1889" w:type="dxa"/>
          </w:tcPr>
          <w:p w14:paraId="1B1320E0" w14:textId="77777777" w:rsidR="00136494" w:rsidRDefault="00000000">
            <w:pPr>
              <w:pStyle w:val="Compact"/>
            </w:pPr>
            <w:r>
              <w:t>30–40%</w:t>
            </w:r>
          </w:p>
        </w:tc>
        <w:tc>
          <w:tcPr>
            <w:tcW w:w="3482" w:type="dxa"/>
          </w:tcPr>
          <w:p w14:paraId="47E0FF73" w14:textId="77777777" w:rsidR="00136494" w:rsidRDefault="00000000">
            <w:pPr>
              <w:pStyle w:val="Compact"/>
            </w:pPr>
            <w:r>
              <w:t>AI chatbots can facilitate Q&amp;A submissions, automate student scheduling, and personalize engagement recommendations.</w:t>
            </w:r>
          </w:p>
        </w:tc>
      </w:tr>
      <w:tr w:rsidR="00136494" w14:paraId="35C2F871" w14:textId="77777777" w:rsidTr="00A1747F">
        <w:tc>
          <w:tcPr>
            <w:tcW w:w="2808" w:type="dxa"/>
          </w:tcPr>
          <w:p w14:paraId="3AA80539" w14:textId="77777777" w:rsidR="00136494" w:rsidRDefault="00000000">
            <w:pPr>
              <w:pStyle w:val="Compact"/>
            </w:pPr>
            <w:r>
              <w:t>Track event success metrics and generate reports</w:t>
            </w:r>
          </w:p>
        </w:tc>
        <w:tc>
          <w:tcPr>
            <w:tcW w:w="1260" w:type="dxa"/>
          </w:tcPr>
          <w:p w14:paraId="5ADD3BD7" w14:textId="77777777" w:rsidR="00136494" w:rsidRDefault="00000000">
            <w:pPr>
              <w:pStyle w:val="Compact"/>
            </w:pPr>
            <w:r>
              <w:t>E7</w:t>
            </w:r>
          </w:p>
        </w:tc>
        <w:tc>
          <w:tcPr>
            <w:tcW w:w="1889" w:type="dxa"/>
          </w:tcPr>
          <w:p w14:paraId="744D82AA" w14:textId="77777777" w:rsidR="00136494" w:rsidRDefault="00000000">
            <w:pPr>
              <w:pStyle w:val="Compact"/>
            </w:pPr>
            <w:r>
              <w:t>45–55%</w:t>
            </w:r>
          </w:p>
        </w:tc>
        <w:tc>
          <w:tcPr>
            <w:tcW w:w="3482" w:type="dxa"/>
          </w:tcPr>
          <w:p w14:paraId="5C9AB29C" w14:textId="77777777" w:rsidR="00136494" w:rsidRDefault="00000000">
            <w:pPr>
              <w:pStyle w:val="Compact"/>
            </w:pPr>
            <w:r>
              <w:t xml:space="preserve">AI analytics tools can synthesize attendance, social media engagement, and feedback data into actionable </w:t>
            </w:r>
            <w:r>
              <w:lastRenderedPageBreak/>
              <w:t>post-event reports.</w:t>
            </w:r>
          </w:p>
        </w:tc>
      </w:tr>
      <w:tr w:rsidR="00136494" w14:paraId="10E53B66" w14:textId="77777777" w:rsidTr="00A1747F">
        <w:tc>
          <w:tcPr>
            <w:tcW w:w="2808" w:type="dxa"/>
          </w:tcPr>
          <w:p w14:paraId="13C1E4DD" w14:textId="77777777" w:rsidR="00136494" w:rsidRDefault="00000000">
            <w:pPr>
              <w:pStyle w:val="Compact"/>
            </w:pPr>
            <w:r>
              <w:lastRenderedPageBreak/>
              <w:t>Develop long-term event programming strategies</w:t>
            </w:r>
          </w:p>
        </w:tc>
        <w:tc>
          <w:tcPr>
            <w:tcW w:w="1260" w:type="dxa"/>
          </w:tcPr>
          <w:p w14:paraId="1075B5A6" w14:textId="77777777" w:rsidR="00136494" w:rsidRDefault="00000000">
            <w:pPr>
              <w:pStyle w:val="Compact"/>
            </w:pPr>
            <w:r>
              <w:t>E7</w:t>
            </w:r>
          </w:p>
        </w:tc>
        <w:tc>
          <w:tcPr>
            <w:tcW w:w="1889" w:type="dxa"/>
          </w:tcPr>
          <w:p w14:paraId="0EC66019" w14:textId="77777777" w:rsidR="00136494" w:rsidRDefault="00000000">
            <w:pPr>
              <w:pStyle w:val="Compact"/>
            </w:pPr>
            <w:r>
              <w:t>30–40%</w:t>
            </w:r>
          </w:p>
        </w:tc>
        <w:tc>
          <w:tcPr>
            <w:tcW w:w="3482" w:type="dxa"/>
          </w:tcPr>
          <w:p w14:paraId="6B615ACC" w14:textId="77777777" w:rsidR="00136494" w:rsidRDefault="00000000">
            <w:pPr>
              <w:pStyle w:val="Compact"/>
            </w:pPr>
            <w:r>
              <w:t>Predictive analytics can identify emerging public policy trends and recommend speaker lineups that reflect timely and impactful topics.</w:t>
            </w:r>
          </w:p>
        </w:tc>
      </w:tr>
    </w:tbl>
    <w:p w14:paraId="45247220" w14:textId="77777777" w:rsidR="00136494" w:rsidRDefault="00000000">
      <w:r>
        <w:pict w14:anchorId="3B70F6F2">
          <v:rect id="_x0000_i1026" style="width:0;height:1.5pt" o:hralign="center" o:hrstd="t" o:hr="t"/>
        </w:pict>
      </w:r>
    </w:p>
    <w:p w14:paraId="223B06B3" w14:textId="77777777" w:rsidR="00136494" w:rsidRDefault="00000000">
      <w:pPr>
        <w:pStyle w:val="Heading3"/>
      </w:pPr>
      <w:bookmarkStart w:id="1" w:name="how-ai-can-enhance-this-role-today"/>
      <w:bookmarkEnd w:id="0"/>
      <w:r>
        <w:rPr>
          <w:b/>
          <w:bCs/>
        </w:rPr>
        <w:t>How AI Can Enhance This Role Today</w:t>
      </w:r>
    </w:p>
    <w:p w14:paraId="4D7CC908" w14:textId="77777777" w:rsidR="00136494" w:rsidRDefault="00000000">
      <w:pPr>
        <w:pStyle w:val="FirstParagraph"/>
      </w:pPr>
      <w:r>
        <w:t>AI can significantly reduce the administrative burden of the Events Manager by automating scheduling, guest logistics, and communications workflows. Intelligent assistants can monitor event timelines, send automated reminders, and even adapt plans based on real-time constraints like travel delays. Predictive analytics can identify which speakers or event formats drive the highest engagement, helping refine programming strategy.</w:t>
      </w:r>
    </w:p>
    <w:p w14:paraId="4739271A" w14:textId="77777777" w:rsidR="00136494" w:rsidRDefault="00000000">
      <w:r>
        <w:pict w14:anchorId="77BE8052">
          <v:rect id="_x0000_i1027" style="width:0;height:1.5pt" o:hralign="center" o:hrstd="t" o:hr="t"/>
        </w:pict>
      </w:r>
    </w:p>
    <w:p w14:paraId="769DD933" w14:textId="77777777" w:rsidR="00136494" w:rsidRDefault="00000000">
      <w:pPr>
        <w:pStyle w:val="Heading3"/>
      </w:pPr>
      <w:bookmarkStart w:id="2" w:name="X63830616d658cabf2457426d941bf45c6bf1ad5"/>
      <w:bookmarkEnd w:id="1"/>
      <w:r>
        <w:rPr>
          <w:b/>
          <w:bCs/>
        </w:rPr>
        <w:t>What This Role Looks Like in 2 Years (2028 Outlook)</w:t>
      </w:r>
    </w:p>
    <w:p w14:paraId="20A261AE" w14:textId="77777777" w:rsidR="00136494" w:rsidRDefault="00000000">
      <w:pPr>
        <w:pStyle w:val="FirstParagraph"/>
      </w:pPr>
      <w:r>
        <w:t xml:space="preserve">By 2028, the Events Manager will evolve into an </w:t>
      </w:r>
      <w:r>
        <w:rPr>
          <w:b/>
          <w:bCs/>
        </w:rPr>
        <w:t>AI-empowered experience designer</w:t>
      </w:r>
      <w:r>
        <w:t xml:space="preserve">, supported by digital agents that autonomously coordinate logistics and engagement. The focus shifts from scheduling and coordination to </w:t>
      </w:r>
      <w:r>
        <w:rPr>
          <w:b/>
          <w:bCs/>
        </w:rPr>
        <w:t>curating strategic experiences</w:t>
      </w:r>
      <w:r>
        <w:t xml:space="preserve"> that align with the School’s academic mission and audience interests.</w:t>
      </w:r>
    </w:p>
    <w:p w14:paraId="108A1646" w14:textId="77777777" w:rsidR="00136494" w:rsidRDefault="00000000">
      <w:pPr>
        <w:pStyle w:val="BodyText"/>
      </w:pPr>
      <w:r>
        <w:t>They will use AI-driven insights to plan events that maximize audience participation, measure emotional engagement through sentiment data, and integrate hybrid digital-physical event formats. The role will demand strong human judgment to ensure that each event reflects institutional tone and inclusivity while leveraging AI’s speed and scale to make the process nearly frictionless.</w:t>
      </w:r>
    </w:p>
    <w:p w14:paraId="48D31085" w14:textId="77777777" w:rsidR="00A1747F" w:rsidRDefault="00A1747F">
      <w:pPr>
        <w:pStyle w:val="BodyText"/>
      </w:pPr>
    </w:p>
    <w:p w14:paraId="37EFB01A" w14:textId="77777777" w:rsidR="00A1747F" w:rsidRDefault="00A1747F" w:rsidP="00A1747F">
      <w:r>
        <w:pict w14:anchorId="0A88AA08">
          <v:rect id="_x0000_i1028" style="width:0;height:1.5pt" o:hralign="center" o:hrstd="t" o:hr="t"/>
        </w:pict>
      </w:r>
    </w:p>
    <w:p w14:paraId="01439BF5" w14:textId="77777777" w:rsidR="00A1747F" w:rsidRDefault="00A1747F" w:rsidP="00A1747F">
      <w:pPr>
        <w:pStyle w:val="FirstParagraph"/>
      </w:pPr>
      <w:r>
        <w:rPr>
          <w:b/>
          <w:bCs/>
        </w:rPr>
        <w:t>Exposure Key:</w:t>
      </w:r>
      <w:r>
        <w:br/>
        <w:t>E0 – No exposure</w:t>
      </w:r>
      <w:r>
        <w:br/>
        <w:t>E1 – Direct exposure</w:t>
      </w:r>
      <w:r>
        <w:br/>
        <w:t>E2 – Exposure by LLM-powered applications</w:t>
      </w:r>
      <w:r>
        <w:br/>
        <w:t>E3 – Exposure given image capabilities</w:t>
      </w:r>
      <w:r>
        <w:br/>
        <w:t>E4 – Exposure given video capabilities</w:t>
      </w:r>
      <w:r>
        <w:br/>
        <w:t>E5 – Exposure given audio capabilities</w:t>
      </w:r>
      <w:r>
        <w:br/>
        <w:t>E6 – Exposure given voice capabilities</w:t>
      </w:r>
      <w:r>
        <w:br/>
        <w:t>E7 – Exposure given advanced reasoning capabilities</w:t>
      </w:r>
      <w:r>
        <w:br/>
      </w:r>
      <w:r>
        <w:lastRenderedPageBreak/>
        <w:t>E8 – Exposure given persuasion capabilities</w:t>
      </w:r>
      <w:r>
        <w:br/>
        <w:t>E9 – Exposure given digital world action capabilities (AI Agents)</w:t>
      </w:r>
      <w:r>
        <w:br/>
        <w:t>E10 – Exposure given physical world vision capabilities (AI Vision Devices)</w:t>
      </w:r>
      <w:r>
        <w:br/>
        <w:t>E11 – Exposure given physical world action capabilities (Humanoid Robots)</w:t>
      </w:r>
    </w:p>
    <w:bookmarkEnd w:id="2"/>
    <w:p w14:paraId="679FC5BB" w14:textId="77777777" w:rsidR="00A1747F" w:rsidRDefault="00A1747F">
      <w:pPr>
        <w:pStyle w:val="BodyText"/>
      </w:pPr>
    </w:p>
    <w:sectPr w:rsidR="00A1747F">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8C2BB9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964849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136494"/>
    <w:rsid w:val="00136494"/>
    <w:rsid w:val="00495E5C"/>
    <w:rsid w:val="00A17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BB9A9"/>
  <w15:docId w15:val="{E1C3E37D-CBCE-4D61-BAEA-D7457661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Brian Piper</cp:lastModifiedBy>
  <cp:revision>2</cp:revision>
  <dcterms:created xsi:type="dcterms:W3CDTF">2026-01-07T16:33:00Z</dcterms:created>
  <dcterms:modified xsi:type="dcterms:W3CDTF">2026-01-08T13:51:00Z</dcterms:modified>
</cp:coreProperties>
</file>